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9E01C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276"/>
        <w:gridCol w:w="1701"/>
        <w:gridCol w:w="4678"/>
        <w:gridCol w:w="5812"/>
        <w:gridCol w:w="1359"/>
      </w:tblGrid>
      <w:tr w:rsidR="00A06425" w:rsidRPr="00A06425" w14:paraId="1B72EBC9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2F677A06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14:paraId="2FC10894" w14:textId="0D9D77DF" w:rsidR="00A06425" w:rsidRPr="00A06425" w:rsidRDefault="00163066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Rejestry publiczne – dobre praktyki architektoniczne i legislacyjne Rekomendacja AIP Wersja 1.0 14.09.2023 </w:t>
            </w:r>
          </w:p>
        </w:tc>
      </w:tr>
      <w:tr w:rsidR="00A06425" w:rsidRPr="00A06425" w14:paraId="3EAF3731" w14:textId="77777777" w:rsidTr="00465D67">
        <w:tc>
          <w:tcPr>
            <w:tcW w:w="562" w:type="dxa"/>
            <w:shd w:val="clear" w:color="auto" w:fill="auto"/>
            <w:vAlign w:val="center"/>
          </w:tcPr>
          <w:p w14:paraId="22CC459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96042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32A074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E66616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8B4474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371F1681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BC6F96" w:rsidRPr="00A06425" w14:paraId="51E944C9" w14:textId="77777777" w:rsidTr="00465D67">
        <w:tc>
          <w:tcPr>
            <w:tcW w:w="562" w:type="dxa"/>
            <w:shd w:val="clear" w:color="auto" w:fill="auto"/>
          </w:tcPr>
          <w:p w14:paraId="44E4AEBB" w14:textId="7D00A729" w:rsidR="00BC6F96" w:rsidRPr="00A06425" w:rsidRDefault="00BC6F96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1410249D" w14:textId="1C527278" w:rsidR="00BC6F96" w:rsidRPr="00480132" w:rsidRDefault="00E775C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8013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Ministerstwo Sprawiedliwości</w:t>
            </w:r>
          </w:p>
        </w:tc>
        <w:tc>
          <w:tcPr>
            <w:tcW w:w="1701" w:type="dxa"/>
            <w:shd w:val="clear" w:color="auto" w:fill="auto"/>
          </w:tcPr>
          <w:p w14:paraId="4A5944FF" w14:textId="2E659917" w:rsidR="00BC6F96" w:rsidRDefault="00BC6F9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Pkt 1 dokumentu </w:t>
            </w:r>
            <w:r w:rsidR="00163066">
              <w:rPr>
                <w:rFonts w:asciiTheme="minorHAnsi" w:hAnsiTheme="minorHAnsi" w:cstheme="minorHAnsi"/>
                <w:sz w:val="22"/>
                <w:szCs w:val="22"/>
              </w:rPr>
              <w:t>Wersja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1.0 z 14.09.2023</w:t>
            </w:r>
          </w:p>
        </w:tc>
        <w:tc>
          <w:tcPr>
            <w:tcW w:w="4678" w:type="dxa"/>
            <w:shd w:val="clear" w:color="auto" w:fill="auto"/>
          </w:tcPr>
          <w:p w14:paraId="5DB8B9AF" w14:textId="07D8D28C" w:rsidR="00BC6F96" w:rsidRDefault="00FF4AB1" w:rsidP="008C15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pkt 1 dot. „Organu prowadzącego rejestr” nie wskazano na specyfikę rejestrów sądowych. Są to rejestry publiczne prowadzone</w:t>
            </w:r>
            <w:r w:rsidR="00670F20">
              <w:rPr>
                <w:rFonts w:asciiTheme="minorHAnsi" w:hAnsiTheme="minorHAnsi" w:cstheme="minorHAnsi"/>
                <w:sz w:val="22"/>
                <w:szCs w:val="22"/>
              </w:rPr>
              <w:t>, nie przez centralny organ administracji (najczęściej Ministra), lecz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przez sądy powszechne (</w:t>
            </w:r>
            <w:r w:rsidR="00163066">
              <w:rPr>
                <w:rFonts w:asciiTheme="minorHAnsi" w:hAnsiTheme="minorHAnsi" w:cstheme="minorHAnsi"/>
                <w:sz w:val="22"/>
                <w:szCs w:val="22"/>
              </w:rPr>
              <w:t xml:space="preserve">w szczególności </w:t>
            </w:r>
            <w:r w:rsidR="00670F20">
              <w:rPr>
                <w:rFonts w:asciiTheme="minorHAnsi" w:hAnsiTheme="minorHAnsi" w:cstheme="minorHAnsi"/>
                <w:sz w:val="22"/>
                <w:szCs w:val="22"/>
              </w:rPr>
              <w:t xml:space="preserve">chodzi o takie rejestry publiczne jak: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KRS, c.b.d.k.w. Rejestr zastawów</w:t>
            </w:r>
            <w:r w:rsidR="00670F20">
              <w:rPr>
                <w:rFonts w:asciiTheme="minorHAnsi" w:hAnsiTheme="minorHAnsi" w:cstheme="minorHAnsi"/>
                <w:sz w:val="22"/>
                <w:szCs w:val="22"/>
              </w:rPr>
              <w:t xml:space="preserve"> i inne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163066">
              <w:rPr>
                <w:rFonts w:asciiTheme="minorHAnsi" w:hAnsiTheme="minorHAnsi" w:cstheme="minorHAnsi"/>
                <w:sz w:val="22"/>
                <w:szCs w:val="22"/>
              </w:rPr>
              <w:t>. Minister Sprawiedliwości nie jest tu organem prowadzącym taki rejestr (wobec wyraźnych wskazań ustaw, iż rejestr jest prowadzony przez sądy), lecz, najczęściej utrzymuje infrastrukturę centralnej bazy danych w jakiej prowadzony jest rejestr sądowy</w:t>
            </w:r>
          </w:p>
        </w:tc>
        <w:tc>
          <w:tcPr>
            <w:tcW w:w="5812" w:type="dxa"/>
            <w:shd w:val="clear" w:color="auto" w:fill="auto"/>
          </w:tcPr>
          <w:p w14:paraId="12B8609E" w14:textId="05D29644" w:rsidR="00BC6F96" w:rsidRDefault="00163066" w:rsidP="005A38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pkt 1 wprowadzić wskazanie, iż rejestry sądowe prowadzone są przez sądy powszechne.</w:t>
            </w:r>
          </w:p>
        </w:tc>
        <w:tc>
          <w:tcPr>
            <w:tcW w:w="1359" w:type="dxa"/>
          </w:tcPr>
          <w:p w14:paraId="465F5268" w14:textId="77777777" w:rsidR="00BC6F96" w:rsidRPr="00A06425" w:rsidRDefault="00BC6F9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4964C19E" w14:textId="77777777" w:rsidTr="00465D67">
        <w:tc>
          <w:tcPr>
            <w:tcW w:w="562" w:type="dxa"/>
            <w:shd w:val="clear" w:color="auto" w:fill="auto"/>
          </w:tcPr>
          <w:p w14:paraId="62E534F4" w14:textId="02374212" w:rsidR="00A06425" w:rsidRPr="00A06425" w:rsidRDefault="00BC6F96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0E2D72E6" w14:textId="2ED1F9A8" w:rsidR="00A06425" w:rsidRPr="00480132" w:rsidRDefault="00E775C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8013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Ministerstwo Sprawiedliwości</w:t>
            </w:r>
          </w:p>
        </w:tc>
        <w:tc>
          <w:tcPr>
            <w:tcW w:w="1701" w:type="dxa"/>
            <w:shd w:val="clear" w:color="auto" w:fill="auto"/>
          </w:tcPr>
          <w:p w14:paraId="009D9782" w14:textId="5E4DC169" w:rsidR="00A06425" w:rsidRPr="00A06425" w:rsidRDefault="008C152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Pkt 14 lit „d” dokumentu </w:t>
            </w:r>
            <w:r w:rsidR="00163066">
              <w:rPr>
                <w:rFonts w:asciiTheme="minorHAnsi" w:hAnsiTheme="minorHAnsi" w:cstheme="minorHAnsi"/>
                <w:sz w:val="22"/>
                <w:szCs w:val="22"/>
              </w:rPr>
              <w:t>Wersja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1.0 z 14.09.2023</w:t>
            </w:r>
          </w:p>
        </w:tc>
        <w:tc>
          <w:tcPr>
            <w:tcW w:w="4678" w:type="dxa"/>
            <w:shd w:val="clear" w:color="auto" w:fill="auto"/>
          </w:tcPr>
          <w:p w14:paraId="68F8A69B" w14:textId="2411F81D" w:rsidR="00A06425" w:rsidRDefault="008C152E" w:rsidP="005A38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Tu opisana zasada dotyczy sytuacji, gdy „rejestr przechowuje kopię danych z rejestru referencyjnego…”. Problem korzystania z danych referencyjnych bazy TERYT i PKD był kwestią prac nad nowelizacją ustawy o statystyce publicznej</w:t>
            </w:r>
          </w:p>
          <w:p w14:paraId="5A913EF6" w14:textId="35EBCD63" w:rsidR="00003F6F" w:rsidRDefault="00000000" w:rsidP="005A38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hyperlink r:id="rId5" w:anchor="12942257" w:history="1">
              <w:r w:rsidR="00003F6F" w:rsidRPr="00297ADF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https://legislacja.gov.pl/projekt/12368001/katalog/12942257#12942257</w:t>
              </w:r>
            </w:hyperlink>
          </w:p>
          <w:p w14:paraId="3DC39EE5" w14:textId="2BF63B02" w:rsidR="00003F6F" w:rsidRDefault="00003F6F" w:rsidP="005A38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toku prac MS określił </w:t>
            </w:r>
            <w:r w:rsidR="00867FC7">
              <w:rPr>
                <w:rFonts w:asciiTheme="minorHAnsi" w:hAnsiTheme="minorHAnsi" w:cstheme="minorHAnsi"/>
                <w:sz w:val="22"/>
                <w:szCs w:val="22"/>
              </w:rPr>
              <w:t xml:space="preserve">tam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swoje stanowisko.</w:t>
            </w:r>
          </w:p>
          <w:p w14:paraId="38CA0150" w14:textId="54D88B09" w:rsidR="00003F6F" w:rsidRPr="00A06425" w:rsidRDefault="00003F6F" w:rsidP="005A38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Zagadnienie objęte pkt 14 dokumentu dotycz tylko weryfikacji i pobierania danych z systemu referencyjnego. Poza zakresem pozostała zagadnienie szeroko rozumianej „jakości danych” w rejestrach publicznych. Często bowiem, w wyniku zmian standardów w samych rejestrach referencyjnych i sposobu ujawniania tych danych w rejestrach które z nich korzystają</w:t>
            </w:r>
            <w:r w:rsidR="00867FC7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powstają </w:t>
            </w:r>
            <w:r w:rsidR="00867FC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ilościowo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znaczące rozbieżności. W ocenie Wydziału należy dążyć, w ramach opisu dobrych praktyk, do wskazania sposobu (standardu) usuwania takich niezgodności i dążenia do pełnej zgodności danych referencyjnych z danymi ujawnianymi w innych rejestrach publicznych</w:t>
            </w:r>
          </w:p>
        </w:tc>
        <w:tc>
          <w:tcPr>
            <w:tcW w:w="5812" w:type="dxa"/>
            <w:shd w:val="clear" w:color="auto" w:fill="auto"/>
          </w:tcPr>
          <w:p w14:paraId="38A11E8D" w14:textId="28604EE8" w:rsidR="00A06425" w:rsidRPr="00A06425" w:rsidRDefault="00003F6F" w:rsidP="005A38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Należy rozważyć dodanie nowej jednostki </w:t>
            </w:r>
            <w:r w:rsidR="00507994">
              <w:rPr>
                <w:rFonts w:asciiTheme="minorHAnsi" w:hAnsiTheme="minorHAnsi" w:cstheme="minorHAnsi"/>
                <w:sz w:val="22"/>
                <w:szCs w:val="22"/>
              </w:rPr>
              <w:t>redakcyjnej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dokumencie „Rejestry publiczne praktyki architektoniczne i legislacyjne”, w którym zagadnienie usuwania </w:t>
            </w:r>
            <w:r w:rsidR="00507994">
              <w:rPr>
                <w:rFonts w:asciiTheme="minorHAnsi" w:hAnsiTheme="minorHAnsi" w:cstheme="minorHAnsi"/>
                <w:sz w:val="22"/>
                <w:szCs w:val="22"/>
              </w:rPr>
              <w:t>niezgodności w posługiwaniu się danymi referencyjnymi (zwłaszcza TERY</w:t>
            </w:r>
            <w:r w:rsidR="00014748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507994">
              <w:rPr>
                <w:rFonts w:asciiTheme="minorHAnsi" w:hAnsiTheme="minorHAnsi" w:cstheme="minorHAnsi"/>
                <w:sz w:val="22"/>
                <w:szCs w:val="22"/>
              </w:rPr>
              <w:t xml:space="preserve">, PKD, oznaczenie nieruchomości z EGiB) zostanie wskazane, zdiagnozowane i wskazane </w:t>
            </w:r>
            <w:r w:rsidR="00867FC7">
              <w:rPr>
                <w:rFonts w:asciiTheme="minorHAnsi" w:hAnsiTheme="minorHAnsi" w:cstheme="minorHAnsi"/>
                <w:sz w:val="22"/>
                <w:szCs w:val="22"/>
              </w:rPr>
              <w:t xml:space="preserve">zostaną </w:t>
            </w:r>
            <w:r w:rsidR="00507994">
              <w:rPr>
                <w:rFonts w:asciiTheme="minorHAnsi" w:hAnsiTheme="minorHAnsi" w:cstheme="minorHAnsi"/>
                <w:sz w:val="22"/>
                <w:szCs w:val="22"/>
              </w:rPr>
              <w:t xml:space="preserve">właściwe remedia. Uświadomienie istnienia takich niegodności winno być zauważone już na etapie architektury, a </w:t>
            </w:r>
            <w:r w:rsidR="00867FC7">
              <w:rPr>
                <w:rFonts w:asciiTheme="minorHAnsi" w:hAnsiTheme="minorHAnsi" w:cstheme="minorHAnsi"/>
                <w:sz w:val="22"/>
                <w:szCs w:val="22"/>
              </w:rPr>
              <w:t xml:space="preserve">samo </w:t>
            </w:r>
            <w:r w:rsidR="00507994">
              <w:rPr>
                <w:rFonts w:asciiTheme="minorHAnsi" w:hAnsiTheme="minorHAnsi" w:cstheme="minorHAnsi"/>
                <w:sz w:val="22"/>
                <w:szCs w:val="22"/>
              </w:rPr>
              <w:t xml:space="preserve">zalecenia usuwania (minimalizowania problemu) winno znaleźć rozwiązanie </w:t>
            </w:r>
            <w:r w:rsidR="00867FC7">
              <w:rPr>
                <w:rFonts w:asciiTheme="minorHAnsi" w:hAnsiTheme="minorHAnsi" w:cstheme="minorHAnsi"/>
                <w:sz w:val="22"/>
                <w:szCs w:val="22"/>
              </w:rPr>
              <w:t xml:space="preserve">(prawdopodobnie) </w:t>
            </w:r>
            <w:r w:rsidR="00507994">
              <w:rPr>
                <w:rFonts w:asciiTheme="minorHAnsi" w:hAnsiTheme="minorHAnsi" w:cstheme="minorHAnsi"/>
                <w:sz w:val="22"/>
                <w:szCs w:val="22"/>
              </w:rPr>
              <w:t>w sferze projektów przepisów prawnych.</w:t>
            </w:r>
          </w:p>
        </w:tc>
        <w:tc>
          <w:tcPr>
            <w:tcW w:w="1359" w:type="dxa"/>
          </w:tcPr>
          <w:p w14:paraId="181DC6E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34EED1CF" w14:textId="77777777" w:rsidTr="00465D67">
        <w:tc>
          <w:tcPr>
            <w:tcW w:w="562" w:type="dxa"/>
            <w:shd w:val="clear" w:color="auto" w:fill="auto"/>
          </w:tcPr>
          <w:p w14:paraId="3964B698" w14:textId="01BAD60D" w:rsidR="00A06425" w:rsidRPr="00A06425" w:rsidRDefault="00BC6F96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67BDCA25" w14:textId="2A4C3A6E" w:rsidR="00A06425" w:rsidRPr="00480132" w:rsidRDefault="00E775C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8013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Ministerstwo Sprawiedliwości</w:t>
            </w:r>
          </w:p>
        </w:tc>
        <w:tc>
          <w:tcPr>
            <w:tcW w:w="1701" w:type="dxa"/>
            <w:shd w:val="clear" w:color="auto" w:fill="auto"/>
          </w:tcPr>
          <w:p w14:paraId="7700E0FA" w14:textId="66D74F2F" w:rsidR="00A06425" w:rsidRPr="00A06425" w:rsidRDefault="00C6318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Lista skrótów i definicji pkt 16</w:t>
            </w:r>
            <w:r w:rsidR="00BC6F96">
              <w:rPr>
                <w:rFonts w:asciiTheme="minorHAnsi" w:hAnsiTheme="minorHAnsi" w:cstheme="minorHAnsi"/>
                <w:sz w:val="22"/>
                <w:szCs w:val="22"/>
              </w:rPr>
              <w:t xml:space="preserve"> zawartej w dokumencie </w:t>
            </w:r>
            <w:r w:rsidR="00163066">
              <w:rPr>
                <w:rFonts w:asciiTheme="minorHAnsi" w:hAnsiTheme="minorHAnsi" w:cstheme="minorHAnsi"/>
                <w:sz w:val="22"/>
                <w:szCs w:val="22"/>
              </w:rPr>
              <w:t>Wersja</w:t>
            </w:r>
            <w:r w:rsidR="00BC6F96">
              <w:rPr>
                <w:rFonts w:asciiTheme="minorHAnsi" w:hAnsiTheme="minorHAnsi" w:cstheme="minorHAnsi"/>
                <w:sz w:val="22"/>
                <w:szCs w:val="22"/>
              </w:rPr>
              <w:t xml:space="preserve"> 1.0 z 14.09.2023</w:t>
            </w:r>
          </w:p>
        </w:tc>
        <w:tc>
          <w:tcPr>
            <w:tcW w:w="4678" w:type="dxa"/>
            <w:shd w:val="clear" w:color="auto" w:fill="auto"/>
          </w:tcPr>
          <w:p w14:paraId="7600E9D6" w14:textId="3E2428E1" w:rsidR="00A06425" w:rsidRDefault="00867FC7" w:rsidP="005A38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1) </w:t>
            </w:r>
            <w:r w:rsidR="00C63187">
              <w:rPr>
                <w:rFonts w:asciiTheme="minorHAnsi" w:hAnsiTheme="minorHAnsi" w:cstheme="minorHAnsi"/>
                <w:sz w:val="22"/>
                <w:szCs w:val="22"/>
              </w:rPr>
              <w:t xml:space="preserve">Zdefiniowano tutaj „Podmiot”. </w:t>
            </w:r>
            <w:r w:rsidR="008F6C35">
              <w:rPr>
                <w:rFonts w:asciiTheme="minorHAnsi" w:hAnsiTheme="minorHAnsi" w:cstheme="minorHAnsi"/>
                <w:sz w:val="22"/>
                <w:szCs w:val="22"/>
              </w:rPr>
              <w:t>Przyjęcie</w:t>
            </w:r>
            <w:r w:rsidR="00C63187">
              <w:rPr>
                <w:rFonts w:asciiTheme="minorHAnsi" w:hAnsiTheme="minorHAnsi" w:cstheme="minorHAnsi"/>
                <w:sz w:val="22"/>
                <w:szCs w:val="22"/>
              </w:rPr>
              <w:t xml:space="preserve"> takiej nazwy </w:t>
            </w:r>
            <w:r w:rsidR="008F6C35">
              <w:rPr>
                <w:rFonts w:asciiTheme="minorHAnsi" w:hAnsiTheme="minorHAnsi" w:cstheme="minorHAnsi"/>
                <w:sz w:val="22"/>
                <w:szCs w:val="22"/>
              </w:rPr>
              <w:t>nie jest optymalne. Osoby fizyczne także są podmiotami (praw i obowiązków</w:t>
            </w:r>
            <w:r w:rsidR="008E35D3">
              <w:rPr>
                <w:rFonts w:asciiTheme="minorHAnsi" w:hAnsiTheme="minorHAnsi" w:cstheme="minorHAnsi"/>
                <w:sz w:val="22"/>
                <w:szCs w:val="22"/>
              </w:rPr>
              <w:t>). Problem ze stosowaniem terminu „Podmiot” (prawa) wystąpił już w opisie „Interesu faktycznego”, pod poz. 11 „Listy skrótów i definicji”.</w:t>
            </w:r>
          </w:p>
          <w:p w14:paraId="77C3DA77" w14:textId="7CB65955" w:rsidR="00436CED" w:rsidRPr="00A06425" w:rsidRDefault="00867FC7" w:rsidP="005A38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2) </w:t>
            </w:r>
            <w:r w:rsidR="00436CED">
              <w:rPr>
                <w:rFonts w:asciiTheme="minorHAnsi" w:hAnsiTheme="minorHAnsi" w:cstheme="minorHAnsi"/>
                <w:sz w:val="22"/>
                <w:szCs w:val="22"/>
              </w:rPr>
              <w:t xml:space="preserve">Nadto należy </w:t>
            </w:r>
            <w:r w:rsidR="006E4B5F">
              <w:rPr>
                <w:rFonts w:asciiTheme="minorHAnsi" w:hAnsiTheme="minorHAnsi" w:cstheme="minorHAnsi"/>
                <w:sz w:val="22"/>
                <w:szCs w:val="22"/>
              </w:rPr>
              <w:t>wyjaśnić</w:t>
            </w:r>
            <w:r w:rsidR="00436CED">
              <w:rPr>
                <w:rFonts w:asciiTheme="minorHAnsi" w:hAnsiTheme="minorHAnsi" w:cstheme="minorHAnsi"/>
                <w:sz w:val="22"/>
                <w:szCs w:val="22"/>
              </w:rPr>
              <w:t xml:space="preserve"> w zdaniu drugim definicji „zwrot: oraz </w:t>
            </w:r>
            <w:r w:rsidR="006E4B5F">
              <w:rPr>
                <w:rFonts w:asciiTheme="minorHAnsi" w:hAnsiTheme="minorHAnsi" w:cstheme="minorHAnsi"/>
                <w:sz w:val="22"/>
                <w:szCs w:val="22"/>
              </w:rPr>
              <w:t>działalność</w:t>
            </w:r>
            <w:r w:rsidR="00436CED">
              <w:rPr>
                <w:rFonts w:asciiTheme="minorHAnsi" w:hAnsiTheme="minorHAnsi" w:cstheme="minorHAnsi"/>
                <w:sz w:val="22"/>
                <w:szCs w:val="22"/>
              </w:rPr>
              <w:t xml:space="preserve"> gospodarcz</w:t>
            </w:r>
            <w:r w:rsidR="006E4B5F">
              <w:rPr>
                <w:rFonts w:asciiTheme="minorHAnsi" w:hAnsiTheme="minorHAnsi" w:cstheme="minorHAnsi"/>
                <w:sz w:val="22"/>
                <w:szCs w:val="22"/>
              </w:rPr>
              <w:t>a osób fizycznych.”</w:t>
            </w:r>
          </w:p>
        </w:tc>
        <w:tc>
          <w:tcPr>
            <w:tcW w:w="5812" w:type="dxa"/>
            <w:shd w:val="clear" w:color="auto" w:fill="auto"/>
          </w:tcPr>
          <w:p w14:paraId="16C254D1" w14:textId="26BDD394" w:rsidR="00A06425" w:rsidRDefault="00867FC7" w:rsidP="005A38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1) </w:t>
            </w:r>
            <w:r w:rsidR="00126CDF">
              <w:rPr>
                <w:rFonts w:asciiTheme="minorHAnsi" w:hAnsiTheme="minorHAnsi" w:cstheme="minorHAnsi"/>
                <w:sz w:val="22"/>
                <w:szCs w:val="22"/>
              </w:rPr>
              <w:t>Skoro w pkt 15 definicji mowa jest o osobie fizycznej (która to niewątpliwie jest podmiotem) to dopełniającą kategorią winno być wskazanie na „osobę niebędącą osobą fizyczną”. Takie rozróżnienie nie generuje w/w wątpliwości i w warstwie znaczeniowej jest (w ocenie WRRS) znacząco bardziej czytelne.</w:t>
            </w:r>
          </w:p>
          <w:p w14:paraId="2FA10CFB" w14:textId="6F1E86C6" w:rsidR="006E4B5F" w:rsidRPr="00A06425" w:rsidRDefault="00867FC7" w:rsidP="005A38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2) </w:t>
            </w:r>
            <w:r w:rsidR="006E4B5F">
              <w:rPr>
                <w:rFonts w:asciiTheme="minorHAnsi" w:hAnsiTheme="minorHAnsi" w:cstheme="minorHAnsi"/>
                <w:sz w:val="22"/>
                <w:szCs w:val="22"/>
              </w:rPr>
              <w:t>Należy jednoznacznie przesądzić, czy przedsiębiorca wpisany do CEiDG NIE JEST JUŻ OSOBĄ FIZYCZNĄ (w rozumieniu definicji takiej osoby zawartej w pkt 15 „Listy skrótów i definicji”.</w:t>
            </w:r>
          </w:p>
        </w:tc>
        <w:tc>
          <w:tcPr>
            <w:tcW w:w="1359" w:type="dxa"/>
          </w:tcPr>
          <w:p w14:paraId="507BB58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1E13DEDB" w14:textId="77777777" w:rsidTr="00465D67">
        <w:tc>
          <w:tcPr>
            <w:tcW w:w="562" w:type="dxa"/>
            <w:shd w:val="clear" w:color="auto" w:fill="auto"/>
          </w:tcPr>
          <w:p w14:paraId="48F3B1AA" w14:textId="122DC508" w:rsidR="00A06425" w:rsidRPr="00A06425" w:rsidRDefault="00BC6F96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47F39AD4" w14:textId="0DB627D8" w:rsidR="00A06425" w:rsidRPr="00480132" w:rsidRDefault="00E775C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8013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Ministerstwo Sprawiedliwości</w:t>
            </w:r>
          </w:p>
        </w:tc>
        <w:tc>
          <w:tcPr>
            <w:tcW w:w="1701" w:type="dxa"/>
            <w:shd w:val="clear" w:color="auto" w:fill="auto"/>
          </w:tcPr>
          <w:p w14:paraId="67878936" w14:textId="017308D4" w:rsidR="00A06425" w:rsidRPr="00A06425" w:rsidRDefault="00B4156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Lista skrótów i definicji pkt 11</w:t>
            </w:r>
            <w:r w:rsidR="00FF4AB1">
              <w:rPr>
                <w:rFonts w:asciiTheme="minorHAnsi" w:hAnsiTheme="minorHAnsi" w:cstheme="minorHAnsi"/>
                <w:sz w:val="22"/>
                <w:szCs w:val="22"/>
              </w:rPr>
              <w:t xml:space="preserve"> zawartej w dokumencie </w:t>
            </w:r>
            <w:r w:rsidR="00163066">
              <w:rPr>
                <w:rFonts w:asciiTheme="minorHAnsi" w:hAnsiTheme="minorHAnsi" w:cstheme="minorHAnsi"/>
                <w:sz w:val="22"/>
                <w:szCs w:val="22"/>
              </w:rPr>
              <w:t>Wersja</w:t>
            </w:r>
            <w:r w:rsidR="00FF4AB1">
              <w:rPr>
                <w:rFonts w:asciiTheme="minorHAnsi" w:hAnsiTheme="minorHAnsi" w:cstheme="minorHAnsi"/>
                <w:sz w:val="22"/>
                <w:szCs w:val="22"/>
              </w:rPr>
              <w:t xml:space="preserve"> 1.0 z 14.09.2023</w:t>
            </w:r>
          </w:p>
        </w:tc>
        <w:tc>
          <w:tcPr>
            <w:tcW w:w="4678" w:type="dxa"/>
            <w:shd w:val="clear" w:color="auto" w:fill="auto"/>
          </w:tcPr>
          <w:p w14:paraId="3E35F4AE" w14:textId="77777777" w:rsidR="00A06425" w:rsidRDefault="00B41563" w:rsidP="005A38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Tu wprowadzona definicja „Interesu prawnego”</w:t>
            </w:r>
            <w:r w:rsidR="0048172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223DA">
              <w:rPr>
                <w:rFonts w:asciiTheme="minorHAnsi" w:hAnsiTheme="minorHAnsi" w:cstheme="minorHAnsi"/>
                <w:sz w:val="22"/>
                <w:szCs w:val="22"/>
              </w:rPr>
              <w:t>nie wydaje się ani przydatna w praktyce, ani poprawna teoretycznie.</w:t>
            </w:r>
          </w:p>
          <w:p w14:paraId="04542A08" w14:textId="77777777" w:rsidR="000223DA" w:rsidRDefault="000223DA" w:rsidP="005A38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 zwrócić uwagę, iż sama definicja tu zastosowana nosi cechy tautologii. W definicji czytamy: „Interesem prawnym, jest bowiem interes…”</w:t>
            </w:r>
          </w:p>
          <w:p w14:paraId="55A7C06C" w14:textId="18B3836E" w:rsidR="000223DA" w:rsidRPr="00A06425" w:rsidRDefault="000223DA" w:rsidP="005A38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Interes prawny jest inaczej rozumiany w prawie administracyjnym i w prawie cywilnym.</w:t>
            </w:r>
            <w:r w:rsidR="003C53B3">
              <w:rPr>
                <w:rFonts w:asciiTheme="minorHAnsi" w:hAnsiTheme="minorHAnsi" w:cstheme="minorHAnsi"/>
                <w:sz w:val="22"/>
                <w:szCs w:val="22"/>
              </w:rPr>
              <w:t xml:space="preserve"> Może być rozumiany wąsko (</w:t>
            </w:r>
            <w:r w:rsidR="003C53B3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 xml:space="preserve">sprowadzać się wyłącznie do treści prawa przedmiotowego) lub </w:t>
            </w:r>
            <w:r w:rsidR="003C53B3">
              <w:rPr>
                <w:rFonts w:asciiTheme="minorHAnsi" w:hAnsiTheme="minorHAnsi" w:cstheme="minorHAnsi"/>
                <w:sz w:val="22"/>
                <w:szCs w:val="22"/>
              </w:rPr>
              <w:t>szeroko (</w:t>
            </w:r>
            <w:r w:rsidR="003C53B3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>sprowadzanym wyłącznie do treści prawa przedmiotowego, lub szeroko (w sposób uwzględniający ogólną sytuację prawną)</w:t>
            </w:r>
            <w:r w:rsidR="003C53B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14:paraId="1F8DC6FA" w14:textId="3ABDA4DB" w:rsidR="00A06425" w:rsidRPr="00A06425" w:rsidRDefault="000223DA" w:rsidP="005A38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223DA">
              <w:rPr>
                <w:rFonts w:asciiTheme="minorHAnsi" w:hAnsiTheme="minorHAnsi" w:cstheme="minorHAnsi"/>
                <w:sz w:val="22"/>
                <w:szCs w:val="22"/>
              </w:rPr>
              <w:t>Interes prawny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jest</w:t>
            </w:r>
            <w:r w:rsidRPr="000223DA">
              <w:rPr>
                <w:rFonts w:asciiTheme="minorHAnsi" w:hAnsiTheme="minorHAnsi" w:cstheme="minorHAnsi"/>
                <w:sz w:val="22"/>
                <w:szCs w:val="22"/>
              </w:rPr>
              <w:t xml:space="preserve"> przesłank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 w:rsidRPr="000223DA">
              <w:rPr>
                <w:rFonts w:asciiTheme="minorHAnsi" w:hAnsiTheme="minorHAnsi" w:cstheme="minorHAnsi"/>
                <w:sz w:val="22"/>
                <w:szCs w:val="22"/>
              </w:rPr>
              <w:t xml:space="preserve"> i jedn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 w:rsidRPr="000223DA">
              <w:rPr>
                <w:rFonts w:asciiTheme="minorHAnsi" w:hAnsiTheme="minorHAnsi" w:cstheme="minorHAnsi"/>
                <w:sz w:val="22"/>
                <w:szCs w:val="22"/>
              </w:rPr>
              <w:t xml:space="preserve"> z podstawowych kategorii w prawie.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C53B3">
              <w:rPr>
                <w:rFonts w:asciiTheme="minorHAnsi" w:hAnsiTheme="minorHAnsi" w:cstheme="minorHAnsi"/>
                <w:sz w:val="22"/>
                <w:szCs w:val="22"/>
              </w:rPr>
              <w:t>Należy zweryfikować potrzebę konstruowania takiej definicji. Jeśli istnieje konieczność zawarcia definicji „Interesu prawnego” (co należy raz rozważyć) należy unikać powtórzenia termie: „interes”, które nie jest w samej definicji wyjaśnione.</w:t>
            </w:r>
          </w:p>
        </w:tc>
        <w:tc>
          <w:tcPr>
            <w:tcW w:w="1359" w:type="dxa"/>
          </w:tcPr>
          <w:p w14:paraId="1D17333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775CF" w:rsidRPr="00A06425" w14:paraId="6CF214D8" w14:textId="77777777" w:rsidTr="00465D67">
        <w:tc>
          <w:tcPr>
            <w:tcW w:w="562" w:type="dxa"/>
            <w:shd w:val="clear" w:color="auto" w:fill="auto"/>
          </w:tcPr>
          <w:p w14:paraId="72C301A1" w14:textId="707730E1" w:rsidR="00E775CF" w:rsidRDefault="00E775CF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14:paraId="3E225F92" w14:textId="72ABA19E" w:rsidR="00E775CF" w:rsidRPr="00480132" w:rsidRDefault="00E775C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8013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Ministerstwo Sprawiedliwości</w:t>
            </w:r>
          </w:p>
        </w:tc>
        <w:tc>
          <w:tcPr>
            <w:tcW w:w="1701" w:type="dxa"/>
            <w:shd w:val="clear" w:color="auto" w:fill="auto"/>
          </w:tcPr>
          <w:p w14:paraId="47B93509" w14:textId="4610AD4E" w:rsidR="00E775CF" w:rsidRDefault="00E775C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11. e.</w:t>
            </w:r>
          </w:p>
        </w:tc>
        <w:tc>
          <w:tcPr>
            <w:tcW w:w="4678" w:type="dxa"/>
            <w:shd w:val="clear" w:color="auto" w:fill="auto"/>
          </w:tcPr>
          <w:p w14:paraId="273481AC" w14:textId="3211653F" w:rsidR="00E775CF" w:rsidRDefault="00E775CF" w:rsidP="005A38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porządkowa dotycząca numeracji podpunktów. Zaczyna się od „v”, powinna zaczynać się od „i”.</w:t>
            </w:r>
          </w:p>
        </w:tc>
        <w:tc>
          <w:tcPr>
            <w:tcW w:w="5812" w:type="dxa"/>
            <w:shd w:val="clear" w:color="auto" w:fill="auto"/>
          </w:tcPr>
          <w:p w14:paraId="245F7070" w14:textId="472D17CA" w:rsidR="00E775CF" w:rsidRPr="000223DA" w:rsidRDefault="00E775CF" w:rsidP="005A38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Numeracja zaczyna się od „v”, powinna zaczynać się od „i”.</w:t>
            </w:r>
          </w:p>
        </w:tc>
        <w:tc>
          <w:tcPr>
            <w:tcW w:w="1359" w:type="dxa"/>
          </w:tcPr>
          <w:p w14:paraId="7C694111" w14:textId="77777777" w:rsidR="00E775CF" w:rsidRPr="00A06425" w:rsidRDefault="00E775C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775CF" w:rsidRPr="00A06425" w14:paraId="6EC17AD1" w14:textId="77777777" w:rsidTr="00465D67">
        <w:tc>
          <w:tcPr>
            <w:tcW w:w="562" w:type="dxa"/>
            <w:shd w:val="clear" w:color="auto" w:fill="auto"/>
          </w:tcPr>
          <w:p w14:paraId="68602865" w14:textId="279B240C" w:rsidR="00E775CF" w:rsidRDefault="00E775CF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4BFA916B" w14:textId="3BBC8193" w:rsidR="00E775CF" w:rsidRPr="00480132" w:rsidRDefault="00E775C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8013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Ministerstwo Sprawiedliwości</w:t>
            </w:r>
          </w:p>
        </w:tc>
        <w:tc>
          <w:tcPr>
            <w:tcW w:w="1701" w:type="dxa"/>
            <w:shd w:val="clear" w:color="auto" w:fill="auto"/>
          </w:tcPr>
          <w:p w14:paraId="66A990D5" w14:textId="31414ED6" w:rsidR="00E775CF" w:rsidRDefault="00E775C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13. e.</w:t>
            </w:r>
          </w:p>
        </w:tc>
        <w:tc>
          <w:tcPr>
            <w:tcW w:w="4678" w:type="dxa"/>
            <w:shd w:val="clear" w:color="auto" w:fill="auto"/>
          </w:tcPr>
          <w:p w14:paraId="122628DA" w14:textId="488728F8" w:rsidR="00E775CF" w:rsidRDefault="00E775CF" w:rsidP="005A38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Należy pamiętać, że rejestry typu: rejestr dłużników, rejestr karny zawierają informacje o osobach fizycznych i podmiotach, które nie są zainteresowane aktualizacją swoich danych dążąc do bycia zapomnianym. Niezwykle trudne jest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zapewnienie wypełnienia takiego obowiązku przez takie osoby i podmioty formułując przepis obligujący do takich działań.</w:t>
            </w:r>
          </w:p>
        </w:tc>
        <w:tc>
          <w:tcPr>
            <w:tcW w:w="5812" w:type="dxa"/>
            <w:shd w:val="clear" w:color="auto" w:fill="auto"/>
          </w:tcPr>
          <w:p w14:paraId="5CF9F521" w14:textId="7A031B06" w:rsidR="00E775CF" w:rsidRPr="000223DA" w:rsidRDefault="00E775CF" w:rsidP="005A38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 zdaniu „</w:t>
            </w:r>
            <w:r w:rsidRPr="00795B1D">
              <w:rPr>
                <w:rFonts w:asciiTheme="minorHAnsi" w:hAnsiTheme="minorHAnsi" w:cstheme="minorHAnsi"/>
                <w:sz w:val="22"/>
                <w:szCs w:val="22"/>
              </w:rPr>
              <w:t>Przy projektowaniu przepisów dotyczących rejestrów należy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95B1D">
              <w:rPr>
                <w:rFonts w:asciiTheme="minorHAnsi" w:hAnsiTheme="minorHAnsi" w:cstheme="minorHAnsi"/>
                <w:sz w:val="22"/>
                <w:szCs w:val="22"/>
              </w:rPr>
              <w:t>zapewnić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 zastąpić słowo „zapewnić” sformułowaniem „dążyć do zapewnienia”.</w:t>
            </w:r>
          </w:p>
        </w:tc>
        <w:tc>
          <w:tcPr>
            <w:tcW w:w="1359" w:type="dxa"/>
          </w:tcPr>
          <w:p w14:paraId="7C3DED31" w14:textId="77777777" w:rsidR="00E775CF" w:rsidRPr="00A06425" w:rsidRDefault="00E775C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775CF" w:rsidRPr="00A06425" w14:paraId="6E1DB82E" w14:textId="77777777" w:rsidTr="00465D67">
        <w:tc>
          <w:tcPr>
            <w:tcW w:w="562" w:type="dxa"/>
            <w:shd w:val="clear" w:color="auto" w:fill="auto"/>
          </w:tcPr>
          <w:p w14:paraId="12B309A0" w14:textId="77777777" w:rsidR="00E775CF" w:rsidRDefault="00E775CF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7984E7CF" w14:textId="32A834E8" w:rsidR="00E775CF" w:rsidRPr="00480132" w:rsidRDefault="00E775C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8013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Ministerstwo Sprawiedliwości</w:t>
            </w:r>
          </w:p>
        </w:tc>
        <w:tc>
          <w:tcPr>
            <w:tcW w:w="1701" w:type="dxa"/>
            <w:shd w:val="clear" w:color="auto" w:fill="auto"/>
          </w:tcPr>
          <w:p w14:paraId="7ABDEDBD" w14:textId="317AEAA8" w:rsidR="00E775CF" w:rsidRDefault="00E775C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18. d. iv.</w:t>
            </w:r>
          </w:p>
        </w:tc>
        <w:tc>
          <w:tcPr>
            <w:tcW w:w="4678" w:type="dxa"/>
            <w:shd w:val="clear" w:color="auto" w:fill="auto"/>
          </w:tcPr>
          <w:p w14:paraId="635665B7" w14:textId="010EFAED" w:rsidR="00E775CF" w:rsidRDefault="00E775CF" w:rsidP="005A38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Nadawanie numeru PESEL z urzędu będzie wymagało stworzenia interfejsu z innych rejestrów, w których mają być gromadzone dane osób nie posiadających tego identyfikatora i braku obecnie podstawy prawnej do jego nadania.</w:t>
            </w:r>
          </w:p>
        </w:tc>
        <w:tc>
          <w:tcPr>
            <w:tcW w:w="5812" w:type="dxa"/>
            <w:shd w:val="clear" w:color="auto" w:fill="auto"/>
          </w:tcPr>
          <w:p w14:paraId="048919A4" w14:textId="71EB71BC" w:rsidR="00E775CF" w:rsidRDefault="00E775CF" w:rsidP="005A38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 się dodanie na końcu podpunktu iv zdania. „Powinna zostać udostępniona usługa nadawania numeru PESEL z urzędu do wykorzystania przez systemy inne niż SRP obsługujące rejestry urzędowe.”</w:t>
            </w:r>
          </w:p>
        </w:tc>
        <w:tc>
          <w:tcPr>
            <w:tcW w:w="1359" w:type="dxa"/>
          </w:tcPr>
          <w:p w14:paraId="1AA95B3B" w14:textId="77777777" w:rsidR="00E775CF" w:rsidRPr="00A06425" w:rsidRDefault="00E775C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F1A9A10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3F6F"/>
    <w:rsid w:val="00014748"/>
    <w:rsid w:val="000223DA"/>
    <w:rsid w:val="00034258"/>
    <w:rsid w:val="00126CDF"/>
    <w:rsid w:val="00140BE8"/>
    <w:rsid w:val="00163066"/>
    <w:rsid w:val="0019648E"/>
    <w:rsid w:val="002715B2"/>
    <w:rsid w:val="003124D1"/>
    <w:rsid w:val="003B4105"/>
    <w:rsid w:val="003C53B3"/>
    <w:rsid w:val="00436CED"/>
    <w:rsid w:val="00465D67"/>
    <w:rsid w:val="00480132"/>
    <w:rsid w:val="00481728"/>
    <w:rsid w:val="004D086F"/>
    <w:rsid w:val="00507994"/>
    <w:rsid w:val="00555C95"/>
    <w:rsid w:val="005A381C"/>
    <w:rsid w:val="005D1930"/>
    <w:rsid w:val="005F6527"/>
    <w:rsid w:val="006705EC"/>
    <w:rsid w:val="00670F20"/>
    <w:rsid w:val="006E16E9"/>
    <w:rsid w:val="006E4B5F"/>
    <w:rsid w:val="007D182B"/>
    <w:rsid w:val="00807385"/>
    <w:rsid w:val="00867FC7"/>
    <w:rsid w:val="008C152E"/>
    <w:rsid w:val="008E35D3"/>
    <w:rsid w:val="008F6C35"/>
    <w:rsid w:val="00944932"/>
    <w:rsid w:val="009942C3"/>
    <w:rsid w:val="009E5FDB"/>
    <w:rsid w:val="00A06425"/>
    <w:rsid w:val="00AC7796"/>
    <w:rsid w:val="00B41563"/>
    <w:rsid w:val="00B871B6"/>
    <w:rsid w:val="00BC6F96"/>
    <w:rsid w:val="00C63187"/>
    <w:rsid w:val="00C64B1B"/>
    <w:rsid w:val="00CD5EB0"/>
    <w:rsid w:val="00E14C33"/>
    <w:rsid w:val="00E775CF"/>
    <w:rsid w:val="00FF4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874F5B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rsid w:val="00003F6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03F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legislacja.gov.pl/projekt/12368001/katalog/1294225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A5E660-9C80-487C-9EEC-FB13F8728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832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Staniaszek Grzegorz  (DIRS)</cp:lastModifiedBy>
  <cp:revision>4</cp:revision>
  <dcterms:created xsi:type="dcterms:W3CDTF">2023-11-09T07:20:00Z</dcterms:created>
  <dcterms:modified xsi:type="dcterms:W3CDTF">2023-11-09T14:10:00Z</dcterms:modified>
</cp:coreProperties>
</file>